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3 vom 15. Dezember 2017</w:t>
      </w:r>
    </w:p>
    <w:p>
      <w:r>
        <w:t>GR Gerichte, 2017-12-15, DE</w:t>
      </w:r>
    </w:p>
    <w:p>
      <w:r>
        <w:rPr>
          <w:b/>
        </w:rPr>
        <w:t xml:space="preserve">Quelle: </w:t>
      </w:r>
      <w:r>
        <w:t>https://mcp.opencaselaw.ch/entscheid/gr_gerichte_SK2 2017 3</w:t>
      </w:r>
    </w:p>
    <w:p>
      <w:r>
        <w:t>FR: GR_GERICHTE SK2 2017 3 du 15 décembre 2017</w:t>
      </w:r>
    </w:p>
    <w:p>
      <w:r>
        <w:t>IT: GR_GERICHTE SK2 2017 3 del 15 dicembre 2017</w:t>
      </w:r>
    </w:p>
    <w:p>
      <w:pPr>
        <w:pStyle w:val="Heading2"/>
      </w:pPr>
      <w:r>
        <w:t>Regeste</w:t>
      </w:r>
    </w:p>
    <w:p>
      <w:r>
        <w:t>üble Nachrede / Verleumdung | Beschwerde gegen StA, Einstellungsverfügung</w:t>
      </w:r>
    </w:p>
    <w:p>
      <w:pPr>
        <w:pStyle w:val="Heading2"/>
      </w:pPr>
      <w:r>
        <w:t>Erwägungen</w:t>
      </w:r>
    </w:p>
    <w:p>
      <w:r>
        <w:rPr>
          <w:b/>
        </w:rPr>
        <w:t>E. 19</w:t>
      </w:r>
    </w:p>
    <w:p>
      <w:r>
        <w:t>20% genehmigt. Es war der Bauherrin (als Juristin) sehr bewusst, dass sie damit gegen die Auflagen vorstossen [recte: verstossen] wird". D. Mit Schreiben vom 11. November 2015 eröffnete die Gemeinde O.1_____ ein Bussverfahren wegen Verstosses gegen baurechtliche Bestimmungen und forderte sowohl X._____ als auch Y._____ zu einer Stellungnahme auf. E. Mit Schreiben vom 1. Dezember 2015 forderte X._____ Y._____ auf, die von ihm in seinem Schreiben vom 3. November 2015 erhobenen Vorwürfe richtig- zustellen. F. Mit Schreiben vom 4. Dezember 2015 nahm X._____ gegenüber der Ge- meinde O.1_____ erneut Stellung.</w:t>
      </w:r>
    </w:p>
    <w:p>
      <w:r>
        <w:t>Seite 3 — 19 G. Am 18. Januar 2016 reichte Rechtsanwalt lic. iur. Reto Annen, der Rechts- vertreter von Y._____, eine Stellungnahme an die Gemeinde O.1_____ ein, worin er im Wesentlichen ausführte, Y._____ habe X._____ bereits in der Vorprojekt- phase und später beim Bauprojekt über Vorschriften bezüglich des Gefälles der Einstellhallen-Rampe orientiert. X._____ habe als Bauherrin der Ausführung in der realisierten Form ausdrücklich zugestimmt. Zusammenfassend wurde folgendes festgehalten: "Der Bauherrin war die geplante Ausführung vollumfänglich bewusst. Sie hat diese akzeptiert und auf den ersten Baubescheid der Gemeinde vom</w:t>
      </w:r>
    </w:p>
    <w:p>
      <w:r>
        <w:rPr>
          <w:b/>
        </w:rPr>
        <w:t>E. 23</w:t>
      </w:r>
    </w:p>
    <w:p>
      <w:r>
        <w:t>Oktober 2013 geäussert, dass sie das Projekt nicht anpassen möchte. Die Verantwortung für die nun vorliegende Ausführung liegt dementspre- chend bei der Bauherrin." Diese Stellungnahme erfolgte im Rahmen eines Bussverfahrens der Gemeinde O.1_____, welches diese am 11. November 2015 eröffnet hatte (vgl. StA act. 52). Mit Schreiben der Gemeinde O.1_____ vom 11. November 2015 (StA act. 11) wurden sowohl die Beschwerdeführerin als auch der Beschwerdegegner zur Stel- lungnahme betreffend das zu hohe Gefälle der Garageneinfahrt aufgefordert. Die- ses Schreiben trägt den Titel "Eröffnung Bussverfahren", sodass für die Be- schwerdeführerin und den Beschwerdegegner erkennbar war, dass sie von der Gemeinde O.1_____ im Verdacht standen, gegen baurechtliche Bestimmungen verstossen und sich dadurch allenfalls strafbar gemacht haben zu können. Dies umso mehr auch deshalb, als die Gemeinde O.1_____ ausführte, dass mit Blick</w:t>
      </w:r>
    </w:p>
    <w:p>
      <w:r>
        <w:t>Seite 13 — 19 auf Art. 95 KRG mit einer Busse gerechnet werden müsse. Das Bussverfahren dient der Abklärung und Ahndung allfälliger baurechtlicher Verstösse, wobei der Behörde die Möglichkeit zur Verhängung von Bussen zur Verfügung steht. Zu- ständig für die Bestrafung gemäss Art. 95 KRG ist die kommunale Baubehörde (Art. 95 Abs. 3 KRG). Das Bussverfahren hat insofern klarerweise strafprozessua- len Charakter. Daran ändert nichts, dass für das Bussverfahren nicht die StPO, sondern das Gesetz über die Verwaltungsrechtspflege (VRG; BR 370.100) zur Anwendung gelangt (vgl. Art. 4 Abs. 2 des Einführungsgesetzes zur Schweizeri- schen Strafprozessordnung [EGzStPO; BR 350.100]). Die im Schreiben vom 18. Januar 2016 enthaltenen Äusserungen erfolgten somit gegenüber einer (kommu- nalen) Strafbehörde und während eines laufenden Strafverfahrens. Da im Buss- verfahren nicht die StPO zur Anwendung gelangt, kann sich der Beschwerdeführer zwar nicht auf Art. 113 Abs. 1 StPO berufen. Wie ausgeführt (Erwägung 2.6.1), geniesst die Selbstbelastungsfreiheit jedoch verfassungsrechtlichen Rang und wird auch durch Art. 6 Abs. 1 EMRK geschützt, sodass sie dem Beschwerdegeg- ner uneingeschränkt zugute kommt. Dasselbe gilt für das verfassungs- und kon- ventionsrechtlich garantierte Recht auf Verteidigung. Der Beschwerdegegner, dem die Bauleitung über das für die Beschwerdeführerin zu erstellende Bauwerk zukam, konnte vorliegend nur dadurch den gegen ihn im Raum stehenden Verdacht der Widerhandlung gegen baurechtliche Bestimmun- gen zu entkräften versuchen, als er vorbrachte, die Beschwerdeführerin habe den Bau, so wie er erstellt worden sei, in Auftrag gegeben bzw. genehmigt. Denn dass ihm die Bauleitung zukam, war unbestritten und evident, sodass es unbehelflich gewesen wäre, dies zu leugnen. Da der Beschwerdegegner als Bauleiter und die Beschwerdeführerin als Bauherrin als Mitbeschuldigte zueinander standen und eine weitere Person für den Verstoss gegen die baurechtlichen Vorschriften ver- nünftigerweise nicht infrage kam, konnte sich der Beschwerdegegner nur dadurch (wenn auch nicht vollständig, so doch allenfalls teilweise) entlasten, als er die Be- schwerdeführerin belastete, indem er die Verantwortung für den Gesetzesverstoss auf sie schob. Die eigene Entlastung des Beschwerdegegners und die Belastung der Beschwerdeführerin standen damit in einem direkten Zusammenhang. Die Anschuldigungen zielten sodann nicht auf eine unbeteiligte Drittperson, sondern, wie dargelegt, auf eine Mitbeschuldigte. Insofern unterscheidet sich der vorliegen- de Fall auch von dem BGE 118 IV 248 zugrunde liegenden. In Anbetracht der ge- schilderten Umstände lässt sich nicht sagen, die Äusserungen des Beschwerde- gegners seien nicht sachbezogen gewesen oder hätten den Rahmen des zur Ver- teidigung Notwendigen gesprengt. Auch waren sie zur eigenen Verteidigung nicht</w:t>
      </w:r>
    </w:p>
    <w:p>
      <w:r>
        <w:t>Seite 14 — 19 von vornherein ungeeignet. Vielmehr erweisen sich seine Äusserungen - ob sie nun der Wahrheit entsprechen oder nicht - als zulässige Verteidigungsstrategie. Würde man dem Beschwerdegegner demgegenüber lediglich zugestehen, die ge- gen ihn erhobenen Vorwürfe zu bestreiten, hätte er also lediglich vorbringen kön- nen, für den Verstoss gegen die baurechtlichen Bestimmungen nicht verantwort- lich zu sein, wäre dies in Anbetracht der vorliegenden Umstände kaum geeignet gewesen, die bestehenden Vorwürfe in Zweifel zu ziehen. Eine wirksame Selbst- verteidigung wäre ihm damit verwehrt geblieben, was mit Art. 32 Abs. 2 BV bzw. Art. 6 Abs. 1 EMRK kaum vereinbar sein dürfte. 2.7.6. In Anwendung von Art. 14 StGB erscheinen die vom Beschwerdegegner im Schreiben seines Rechtsvertreters vom 18. Januar 2016 erhobenen Vorwürfe so- mit als zulässig. Dass das Schreiben nicht vom Beschwerdegegner selbst, son- dern von seinem Rechtsvertreter stammte, ändert daran grundsätzlich nichts (vgl. BGE 131 IV 154 E. 1.3.1; 118 IV 248 E. 2c). Die Prüfung eines Entlastungsbewei- ses erübrigt sich bei diesem Ergebnis. Eine Bestrafung des Beschwerdegegners wegen übler Nachrede (Art. 173 StGB) oder Beschimpfung (Art. 177 StGB) kommt nicht infrage, sodass die Einstellung in dieser Hinsicht - zumindest im Ergebnis - nicht zu beanstanden ist. 2.8. Damit bleibt zu prüfen, ob sich die im Schreiben des Beschwerdeführers vom 3. November 2015 an A._____ (StA act. 3) erhobenen Vorwürfe als zulässige Verteidigung oder als strafbare Ehrverletzung erweisen. Dabei ist zu beachten, dass die darin gemachten Äusserungen, im Unterschied zum Schreiben des Rechtsvertreters des Beschwerdeführers vom 18. Januar 2016 an die Gemeinde O.1_____ (StA act. 14), nicht während des Bussverfahrens, sondern zu einem früheren Zeitpunkt getätigt wurden. 2.8.1. Es liegt in der Natur der Prozessgesetze, dass sie in der Regel keine Be- stimmungen darüber enthalten, auf welche Art und Weise (spätere) Prozesspar- teien sich vor Einleitung des Prozesses zur Sache sollen äussern dürfen. Insofern fällt zur Rechtfertigung an sich ehrverletzender Äusserungen in einer vorprozes- sualen Streitphase eine Anwendung von Art. 14 StGB grundsätzlich von vornher- ein ausser Betracht. Jenseits einer gesetzlichen Normierung kann aber allenfalls der (aussergesetzliche) Rechtfertigungsgrund der Wahrnehmung berechtigter In- teressen zur Anwendung gelangen (vgl. Kurt Seelmann, in: Niggli/Wiprächtiger [Hrsg.], Basler Kommentar, Strafrecht I, 3. Aufl., Basel 2013, N 26 zu Art. 14 StGB; Günter Stratenwerth, Schweizerisches Strafrecht, Allgemeiner Teil I: Die Straftat, 4. Aufl., Bern 2011, § 10 N 61). Nach der Rechtsprechung des Bundesge-</w:t>
      </w:r>
    </w:p>
    <w:p>
      <w:r>
        <w:t>Seite 15 — 19 richts ist dieser Rechtfertigungsgrund gegeben, wenn die Tat ein zur Erreichung des berechtigten Ziels notwendiges und angemessenes Mittel ist, sie insoweit den einzig möglichen Weg darstellt und offenkundig weniger schwer wiegt als die In- teressen, die der Täter zu wahren sucht (vgl. etwa BGE 120 IV 208 E. 3a). Im Un- terschied zu den defensiv ausgerichteten Rechtfertigungsgründen der Notwehr (Art. 15 StGB) oder des Notstandes (Art. 17 StGB), geht es in diesem Zusammen- hang um sozial erwünschte oder gebilligte Zustände, die erst noch hergestellt werden sollen, wobei dies nicht ohne eine gewisse Beeinträchtigung prinzipiell geschützter anderer Interessen einhergeht (Stratenwerth, a.a.O., § 10 N 60). Die neuere Doktrin tendiert dazu, unter dem Gesichtspunkt der Wahrnehmung berech- tigter Interessen nur geringfügige Gesetzesverstösse zu rechtfertigen (vgl. die Nachweise bei Stratenwerth, a.a.O., § 10 N 61). Das deutsche Recht lässt ehrver- letzende Äusserungen, welche zur Ausführung oder Verteidigung von Rechten gemacht werden, grundsätzlich straflos (vgl. § 193 D-StGB, welcher die Über- schrift "Wahrnehmung berechtigter Interessen" trägt). Zur Ausführung von Rech- ten gehören dabei nicht nur die die eigentliche Rechtsausübung enthaltenden Äusserungen (z.B. Klage oder Rechtsmittel), sondern auch solche, welche die Geltendmachung eines Rechts lediglich vorbereiten oder sichern wollen oder die vor den Schlichtungsstellen zur Vermeidung eines Rechtsstreits gemacht werden. Zur Verteidigung von Rechten ist eine Äusserung gemacht, wenn die fragliche Äusserung eines erwarteten oder bereits eingeleiteten Rechtsangriffs dient. In beiden Fällen muss die fragliche Äusserung ein angemessenes und damit zu- gleich geeignetes und erforderliches Mittel zur Ausführung bzw. Verteidigung von Rechten sein. Vorausgesetzt wird nicht, dass sie letztlich rechtserheblich war; vielmehr genügt es, wenn gute Gründe dafür sprechen, dass sie vom Gericht als rechtserheblich erachtet werden könnte (vgl. zum Ganzen Theodor Lenckner/Jörg Eisele, in: Schönke/Schröder [Hrsg.], Strafgesetzbuch, Kommentar, 29. Aufl., München 2014, N 6 zu § 193 StGB). Das erscheint in der Sache ohne weiteres überzeugend. Oftmals lässt sich für die Beteiligten nur bedingt abschätzen, ob es überhaupt zu einem gerichtlichen Verfahren kommen wird. In vielen Fällen erfolgt zunächst eine vorprozessuale Auseinandersetzung in informellem Rahmen. Nicht selten finden dabei getroffene Äusserungen Eingang in den Prozess, namentlich dann, wenn sie schriftlich vorliegen. Mit Blick auf das Bestreben des Gesetzgebers nach aussergerichtlicher Streitbeilegung muss es möglich sein, Behauptungen, welche im Prozess selbst zulässig wären, auch bereits vorprozessual gegenüber der Gegenseite zu erheben, ohne dass die Gefahr besteht, sich einer Ehrverlet- zung strafbar zu machen. Eine Pflicht, welche statuieren würde, mit den entspre- chenden Äusserungen bis zum eigentlichen Prozess zuzuwarten, besteht nicht</w:t>
      </w:r>
    </w:p>
    <w:p>
      <w:r>
        <w:t>Seite 16 — 19 und wäre denn auch lebensfremd. Im Unterschied zu den Entlastungsbeweisen geht es in diesem Zusammenhang nicht um die (bewiesene oder in guten Treuen angenommene) Wahrheit der Behauptungen, sondern um die Umstände ihrer Veranlassung. Insofern kommt dem Rechtfertigungsgrund der Wahrnehmung be- rechtigter Interessen neben den Entlastungsbeweisen selbständige Bedeutung zu (i.E. auch Riklin, a.a.O., N 34 zu Art. 173 StGB). Als allgemeiner Rechtfertigungs- grund geht er den Entlastungsbeweisen vor (vgl. Erwägung 2.7.1). 2.8.2. Nachdem die Beschwerdeführerin den Beschwerdegegner im Jahr 2013 mit der Planung und Bauleitung beauftragt hatte, verschlechterte sich das Vertrauens- verhältnis zwischen den beiden im Sommer 2015. Als Folge davon entzog die Be- schwerdeführerin dem Beschwerdegegner am 7. August 2015 mit sofortiger Wir- kung das Architektenmandat (vgl. StA act. 7). Stattdessen setzte sie A._____ als Bauleiter ein. Mit Schreiben vom 16. Oktober 2015 wandte sich dieser an den Be- schwerdegegner. Der Inhalt dieses Schreibens ist zwar nicht bekannt, da sich das Schreiben - aus nicht näher bekannten Gründen - nicht bei den Akten befindet. Das Schreiben des Beschwerdegegners vom 3. November 2015 (StA act. 3), wel- ches die zur Anzeige gebrachten Äusserungen enthält, ist jedoch, wie sich dessen Einleitung entnehmen lässt, als Stellungnahme bzw. Entgegnung auf das Schrei- ben von A._____ vom 16. Oktober 2015 zu verstehen. Der Beschwerdegegner hat sich dabei offenbar veranlasst gesehen, sich in seinen Rechten zu verteidigen. Davon dürfte umso mehr auszugehen sein, weil zu diesem Zeitpunkt die Bauab- nahme durch die zuständige Baubehörde bereits stattgefunden hatte, anlässlich derer sie diverse Baumängel festgestellt hatte (vgl. StA act. 8). Im Übrigen stellte die Baubehörde bereits mit Schreiben vom 28. September 2015 (StA act. 8) ein Bussverfahren in Aussicht. Der Beschwerdegegner sah sich damit offensichtlich mit einem "juristischen Nachspiel" konfrontiert. Ob es ihm nun darum ging, seine zivilrechtliche und/oder strafrechtliche Verantwortlichkeit zu bestreiten, kann letzt- lich keine Rolle spielen, zumal es in vielen Fällen auch von der Gegenseite ab- hängt, ob es überhaupt zu einem gerichtlichen Verfahren kommt und - wenn ja - welcher Art dieses Verfahren sein wird (Zivil- und/oder Strafprozess). Insofern er- scheint es denn auch sachgerechter, in diesem Zusammenhang auf den (ausser- gesetzlichen) Rechtfertigungsgrund der Wahrnehmung berechtigter Interessen abzustellen, da die Äusserungsrechte und -pflichten nicht anhand eines bestimm- ten Prozessgesetzes - gewissermassen in vorgreifender Wirkung auf eine ent- sprechend vorprozessuale Phase - festgelegt werden können. Sofern vorliegend von Belang, äusserte sich der Beschwerdegegner im Schreiben vom 3. November 2015, wie folgt:</w:t>
      </w:r>
    </w:p>
    <w:p>
      <w:r>
        <w:t>Seite 17 — 19 "Die Höhen der _____strasse und der Einstellhalle wurden gegenüber den bewilligten Baueingaben (Grundrisse, Schnitte) nicht verändert. Die Bau- herrin wurde von mir schon in der Vorprojektphase und später beim Bau- projekt und somit lange vor der Ausführung auf die Bestimmungen im Bau- gesetz und später auch auf die Auflage bei der Baubewilligung (Gefälle maximal 15%) aufmerksam gemacht. Die Bauherrin hat die Ausführung mit 19 - 20% genehmigt. Es war der Bauherrin (als Juristin) sehr bewusst, dass sie damit gegen die Auflagen vorstossen [recte: verstossen] wird". Das besagte Schreiben war zwar an A._____ adressiert. Dieser fungierte jedoch seit dem 15. Juli 2015 als "Bauherrenvertreter" (vgl. StA act. 10, S. 2) der Be- schwerdeführerin. Die Äusserungen sind deshalb so zu behandeln, wie wenn sie an die Beschwerdeführerin selbst gerichtet gewesen wären. Bei den erhobenen Vorwürfen in der Form, dass die Beschwerdeführerin der baugesetzwidrigen Aus- führung des Bauwerks zugestimmt habe, handelt es sich nicht um übermässig beleidigende Äusserungen. Sie beschränkten sich vielmehr auf die Behauptung der fraglichen Zustimmung und die Kenntnis der einschlägigen Gesetzesbestim- mungen. Sofern zutreffend, wären die Behauptungen denn auch nicht von vorn- herein ungeeignet gewesen, den Beschwerdeführer zumindest teilweise zu entlas- ten. Folglich erschienen die Äusserungen als zur eigenen Verteidigung geeignet und erforderlich. In Anbetracht der gesamten Umstände erwiesen sie sich somit nicht als unangemessen. Darüber hinaus ist zu beachten, dass ihnen nur geringer ehrverletzender Charakter zukommt. Der (indirekt) geäusserte Vorwurf zielt ledig- lich auf die Begehung einer Übertretung (vgl. Erwägung 2.5). Er nimmt Bezug auf ein bestimmtes (angebliches) Verhalten der Beschwerdeführerin und ist insofern sachbezogen und nicht unnötig beleidigend. 2.8.4. Unter dem Gesichtspunkt der Wahrnehmung berechtigter Interessen waren die vom Beschwerdegegner in seinem Schreiben vom 3. November 2015 gemach- ten Äusserungen somit zulässig. Die Prüfung eines Entlastungsbeweises erübrigt sich damit. Eine Bestrafung wegen übler Nachrede (Art. 173 StGB) oder Be- schimpfung (Art. 177 StGB) fällt ausser Betracht. Die Einstellung des Verfahrens erweist sich daher auch in diesem Punkt im Ergebnis als rechtmässig. 2.9. Die Staatsanwaltschaft hat in der Einstellungsverfügung ausgeführt, eine Bestrafung des Beschwerdegegners wegen Verleumdung (Art. 174 StGB) komme nicht in Betracht, da er seine Äusserungen nicht wider besseres Wissen gemacht habe (vgl. Einstellungsverfügung, E. 4). Wie aufgezeigt (vgl. Erwägung 2.7.3), würde ein Handeln wider besseres Wissen - sofern ein solches denn ausgewiesen wäre - nichts daran ändern, dass sich die vom Beschwerdegegner gemachten Äusserungen im Rahmen des zu seiner Verteidigung Angemessenen und damit</w:t>
      </w:r>
    </w:p>
    <w:p>
      <w:r>
        <w:t>Seite 18 — 19 Zulässigen bewegten. Die Einstellung des Strafverfahrens gegen den Beschwer- degegner wegen übler Nachrede (Art. 173 StGB) und Verleumdung (Art. 174 StGB) ist daher zu bestätigen. 3. Da es bei der Einstellung des Strafverfahrens bleibt, braucht über die von der Beschwerdeführerin beantragten Weisungen an die Staatsanwaltschaft betref- fend die Fortführung des Strafverfahrens nicht entschieden zu werden. Die ent- sprechenden Anträge sind abzuweisen. 4. Die Staatsanwaltschaft hat die Verfahrenskosten auf die Staatskasse ge- nommen und dem Beschwerdegegner zulasten der Staatskasse eine Entschädi- gung in Höhe von CHF 1'696.35 (inkl. MWSt.) zugesprochen. Angesichts des Ausgangs des Beschwerdeverfahrens bleibt es bei dieser Kostenregelung. 5.1. Bei diesem Ausgang des Verfahrens wird die Beschwerdeführerin kosten- pflichtig (Art. 428 Abs. 1 StPO). In Anwendung von Art. 8 der Verordnung über die Gerichtsgebühren in Strafverfahren (VGS; BR 350.201) werden die Kosten des Beschwerdeverfahrens vorliegend auf CHF 2'000.00 festgesetzt und mit dem von der Beschwerdeführerin geleisteten Kostenvorschuss in Höhe von CHF 2'000.00 verrechnet. 5.2. Für die Ansprüche auf Entschädigung und Genugtuung im Rechtsmittelver- fahren verweist Art. 436 Abs. 1 StPO auf die Art. 429-434 StPO. Die Beschwerde- führerin unterliegt im vorliegenden, ausschliesslich von ihr initiierten Beschwerde- verfahren vollständig und ist gemäss der Praxis des Kantonsgerichts deshalb in analoger Anwendung von Art. 432 Abs. 1 StPO zu verpflichten, dem Beschwerde- gegner für seine anwaltlichen Umtriebe im Beschwerdeverfahren eine angemes- sene Prozessentschädigung zu bezahlen (vgl. u.a. Beschluss des Kantonsgerichts von Graubünden SK2 14 39 vom 11. Februar 2015, E. 7b m.w.H.). Mangels einge- reichter Honorarnote ist die beantragte Entschädigung nach Ermessen festzuset- zen. Unter Berücksichtigung der eingereichten Stellungnahme (KG act. A.3) er- scheint eine Entschädigung in der Höhe von CHF 1'000.00 einschliesslich Mehr- wertsteuer als angemessen. Die Beschwerdeführerin wird daher verpflichtet, den Beschwerdegegner mit CHF 1'000.00 (inkl. MwSt.) ausseramtlich zu entschädi- gen.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